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Noria</text:h>
      <text:p text:style-name="Definition_20_Term_20_Tight">Název taxonu</text:p>
      <text:p text:style-name="Definition_20_Definition_20_Tight">Vitis vinifera Noria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´Noria´ (No)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RRxSE 23/33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´Ryzlink rýnský´ x ´Semillon´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slabší až středně silné,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okrouhlé, pětilaločnaté s mírnými výkroji, bazální výkroj je tvaru písmene V, otevřený; povrch listu je tmavě zelený,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válcovitě-kuželovitý, středně hustý hrozen, na kratší stopce; bobule kulatá až lehce oválná, středně velká, zelenožlutá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´Ryzlink rýnský´ (No má zelenější bobule a naopak chybí černá tečka po blizně)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SO 4, CR 2 i Kober 125 AA, dle vedení a půdních podmínek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láká obaleče</text:p>
      <text:p text:style-name="Definition_20_Term_20_Tight">Plodnost</text:p>
      <text:p text:style-name="Definition_20_Definition_20_Tight">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v chuti připomíná odrůdu Semillon, cítit můžeme angrešt a citrusové plody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MzdfMTUxX1NvdG9sYXJfVml0aXNfdmluaWZlcmFfbm9yaWFfaHJvemVuLkpQRyJdXQ?sha=ed7f349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MzdfOTkyX1NvdG9sYXJfVml0aXNfdmluaWZlcmFfbm9yaWFfbGlzdC5KUEciXV0?sha=d7263fea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