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´Shajinhong Sin´</text:h>
      <text:p text:style-name="Definition_20_Term_20_Tight">Název taxonu</text:p>
      <text:p text:style-name="Definition_20_Definition_20_Tight">Prunus armeniaca ´Shajinhong Sin´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´Shajinhong Sin´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Čína</text:p>
      <text:h text:style-name="Heading_20_4" text:outline-level="4">Zařazení</text:h>
      <text:p text:style-name="Definition_20_Term_20_Tight">Fytocenologický původ</text:p>
      <text:p text:style-name="Definition_20_Definition_20_Tight">1200 let stará odrůda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rozkladitá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oválné, zlatočervené (50-75% tvoří líčko), průměrná hmotnost 60 g (v extrému až 100 g), velmi atraktivní, snadná odlučitelnost, refrakce 12° Brix, poměr kyselin a cukrů vyvážený</text:p>
      <text:h text:style-name="Heading_20_4" text:outline-level="4">Doba kvetení</text:h>
      <text:p text:style-name="Definition_20_Term_20_Tight">Doba kvetení - poznámka</text:p>
      <text:p text:style-name="Definition_20_Definition_20_Tight">začátek až střed května</text:p>
      <text:h text:style-name="Heading_20_4" text:outline-level="4">Doba zrání</text:h>
      <text:p text:style-name="Definition_20_Term_20_Tight">Doba zrání - poznámka</text:p>
      <text:p text:style-name="Definition_20_Definition_20_Tight">konec června až začátek července, střední (skladovatelnost 6-7 dní při pokojové teplotě), vývoj plodu trvá 67 dní</text:p>
      <text:h text:style-name="Heading_20_4" text:outline-level="4">Nároky na stanoviště</text:h>
      <text:p text:style-name="Definition_20_Term_20_Tight">Faktor tepla</text:p>
      <text:p text:style-name="Definition_20_Definition_20_Tight">nesnáší chladné teploty</text:p>
      <text:h text:style-name="Heading_20_4" text:outline-level="4">Užitné vlastnosti</text:h>
      <text:p text:style-name="Definition_20_Term_20_Tight">Použití</text:p>
      <text:p text:style-name="Definition_20_Definition_20_Tight">vhodná k transportu</text:p>
      <text:p text:style-name="Definition_20_Term_20_Tight">Plodnost</text:p>
      <text:p text:style-name="Definition_20_Definition_20_Tight">poprvé plodí v 7 letech po výsadbě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Nejvíce se pěstuje v oblasti v Číně, v provincii Shanxi (nejznámější oblast Qingxu County - 89% výnosů). Doporučeno je pěstovat odrůdu v provincii Liaoning, nevhodná do oblastí s příliš chladným počasím (Shenyang).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