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´Charneuská´</text:h>
      <text:p text:style-name="Definition_20_Term_20_Tight">Název taxonu</text:p>
      <text:p text:style-name="Definition_20_Definition_20_Tight">Pyrus communis ´Charneuská´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´Charneuská´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</text:p>
      <text:h text:style-name="Heading_20_4" text:outline-level="4">Zařazení</text:h>
      <text:p text:style-name="Definition_20_Term_20_Tight">Fytocenologický původ</text:p>
      <text:p text:style-name="Definition_20_Definition_20_Tight">původní odrůda objevena v 19. století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úzce kuželovitá, zahuštěná</text:p>
      <text:p text:style-name="Definition_20_Term_20_Tight">Květy</text:p>
      <text:p text:style-name="Definition_20_Definition_20_Tight">malé, úzce miskovité, korunní plátky menší až středně velké, bílé</text:p>
      <text:p text:style-name="Definition_20_Term_20_Tight">Plody</text:p>
      <text:p text:style-name="Definition_20_Definition_20_Tight">středně velké (150-165 g), velikostně vyrovnané, lahvicovité, zelenožluté s nevýrazným červeným líčkem se rzivými lenticelami, dužnina silně šťavnatá s kořenitou chutí</text:p>
      <text:h text:style-name="Heading_20_4" text:outline-level="4">Doba kvetení</text:h>
      <text:p text:style-name="Definition_20_Term_20_Tight">Doba kvetení - poznámka</text:p>
      <text:p text:style-name="Definition_20_Definition_20_Tight">středně raná až středně pozdní, polovina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(skladovatelnost 2 měsíce),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namrzání květů, citlivá k mrazu ve dřevě, odrůda vhodná do všech i vyšších poloh</text:p>
      <text:p text:style-name="Definition_20_Term_20_Tight">Faktor půdy</text:p>
      <text:p text:style-name="Definition_20_Definition_20_Tight">těžší, vlhčí a vododržné půdy</text:p>
      <text:h text:style-name="Heading_20_4" text:outline-level="4">Agrotechnické vlastnosti a požadavky</text:h>
      <text:p text:style-name="Definition_20_Term_20_Tight">Podnož</text:p>
      <text:p text:style-name="Definition_20_Definition_20_Tight">kdouloň MA-SE, K-TE-E s mezištěpováním, semenáč H-TE-2</text:p>
      <text:h text:style-name="Heading_20_4" text:outline-level="4">Užitné vlastnosti</text:h>
      <text:p text:style-name="Definition_20_Term_20_Tight">Použití</text:p>
      <text:p text:style-name="Definition_20_Definition_20_Tight">přímý konzum, konzervace, transport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středně 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MzJfMTY3X2dvZ29sa292YV9QeXJ1c19jb21tdW5pc19DaGFybmV1c2tfX3Bsb2QuanBnIl1d?sha=46293d58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