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repens</text:h>
      <text:p text:style-name="Definition_20_Term_20_Tight">Název taxonu</text:p>
      <text:p text:style-name="Definition_20_Definition_20_Tight">Impatiens repens</text:p>
      <text:p text:style-name="Definition_20_Term_20_Tight">Vědecký název taxonu</text:p>
      <text:p text:style-name="Definition_20_Definition_20_Tight">Impatiens repens</text:p>
      <text:p text:style-name="Definition_20_Term_20_Tight">Jména autorů, kteří taxon popsali</text:p>
      <text:p text:style-name="Definition_20_Definition_20_Tight">
        <text:a xlink:type="simple" xlink:href="/taxon-authors/530" office:name="">
          <text:span text:style-name="Definition">Moon (1825)</text:span>
        </text:a>
      </text:p>
      <text:p text:style-name="Definition_20_Term_20_Tight">Český název</text:p>
      <text:p text:style-name="Definition_20_Definition_20_Tight">netýkavka plazivá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Cejlon - endemit oblasti Ratnapura, v přírodě pravděpodobně vyhynulý (v posledních šedesáti letech nezvěstný)</text:p>
      <text:h text:style-name="Heading_20_4" text:outline-level="4">Zařazení</text:h>
      <text:p text:style-name="Definition_20_Term_20_Tight">Fytocenologický původ</text:p>
      <text:p text:style-name="Definition_20_Definition_20_Tight">ankofyt, petrodofyt &amp; ptenothalofyt - mokré skály v submontánních deštných lesích, do 950 m n.m.</text:p>
      <text:p text:style-name="Definition_20_Term_20_Tight">Pěstitelská skupina</text:p>
      <text:p text:style-name="Definition_20_Definition_20_Tight">Letnička nepravá,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křehká, plazivá, nepříliš ochotně kvetoucí půdopokryvná bylina s purpurovými sukulentními stonky a drobnými lístky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bohatě větvené, lysé, sytě purpurové, spirálně, hustě a drobně olistěné</text:p>
      <text:p text:style-name="Definition_20_Term_20_Tight">Listy</text:p>
      <text:p text:style-name="Definition_20_Definition_20_Tight">řapíkaté, nejvýše o velikosti drobné mince, okrouhle ledvinité, shora temně zelené a roztroušeně pýřité, vespod lysé a purpurové, drobně vroubkované</text:p>
      <text:p text:style-name="Definition_20_Term_20_Tight">Květenství</text:p>
      <text:p text:style-name="Definition_20_Definition_20_Tight">květy soliterně v paždí listů</text:p>
      <text:p text:style-name="Definition_20_Term_20_Tight">Květy</text:p>
      <text:p text:style-name="Definition_20_Definition_20_Tight">oboupohlavné, souměrné, pětičetné se spodním sepalem protaženým v nálevkovitou, petaloidně zbarvenou ostruhu, s velikými žlutými petaly (svrchní značně menší než laterální)</text:p>
      <text:p text:style-name="Definition_20_Term_20_Tight">Plody</text:p>
      <text:p text:style-name="Definition_20_Definition_20_Tight">vřetenovité tobolky</text:p>
      <text:p text:style-name="Definition_20_Term_20_Tight">Možnost záměny taxonu (+ rozlišující rozhodný znak)</text:p>
      <text:p text:style-name="Definition_20_Definition_20_Tight">svérázný taxon, nezaměnitelný s jinými druhy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Doba kvetení - poznámka</text:p>
      <text:p text:style-name="Definition_20_Definition_20_Tight">květní tvorba pouze za dostatku světla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pro růst i kvetení 12-24 klux, pod 8 klux nežádoucí dlouživý růst a slabé kvetení; pro spolehlivější nakvétání - v předjaří prodloužení dne o 3-4 h (2000-3000 lux - otázka rentability)</text:p>
      <text:p text:style-name="Definition_20_Term_20_Tight">Faktor tepla</text:p>
      <text:p text:style-name="Definition_20_Definition_20_Tight">zakořenění řízků 22°C, po prokořenění hrnků18°C-20°C, otužování 16°C, pro květní tvorbu 18°C a více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1.4-1.8 mS/cm</text:p>
      <text:p text:style-name="Definition_20_Term_20_Tight">Faktor půdy - poznámka</text:p>
      <text:p text:style-name="Definition_20_Definition_20_Tight">přizpůsobivá široké škále substrátů s kolísajícím pH, nesnáší zasolení</text:p>
      <text:h text:style-name="Heading_20_4" text:outline-level="4">Užitné vlastnosti</text:h>
      <text:p text:style-name="Definition_20_Term_20_Tight">Použití</text:p>
      <text:p text:style-name="Definition_20_Definition_20_Tight">balkónové a hrnkové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85 hrnků na m2, po 3-4 týdnech povolování: 32-36 (40) hrnků na m2 (v hustějším rozestavění se výhony splétají a při manipulaci se lámou!)</text:p>
      <text:h text:style-name="Heading_20_4" text:outline-level="4">Množení</text:h>
      <text:p text:style-name="Definition_20_Term_20_Tight">Množení</text:p>
      <text:p text:style-name="Definition_20_Definition_20_Tight">Vrcholové řízky a Osní řízky</text:p>
      <text:p text:style-name="Definition_20_Term_20_Tight">Konečné hrnky</text:p>
      <text:p text:style-name="Definition_20_Definition_20_Tight">8-10 cm hrnky (s 5-6 řízky) nebo závěsné misky (ale: lámavé stonky!)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nekvetoucí rostliny po 4-6 týdnech odbytuschopné; kvetoucí rostliny po 20-26 týdnech (po 10-14 týdnech ještě žádné květy)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zVfODQ3X19VaGVyX0ltcGF0aWVuc19yZXBlbnNfa3ZfdC5KUEciXV0?sha=e57efac7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zZfMjY5X19VaGVyX0ltcGF0aWVuc19yZXBlbnMuSlBHIl1d?sha=b37bf46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