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Sorghum bicolor</text:h>
      <text:p text:style-name="Definition_20_Term_20_Tight">Název taxonu</text:p>
      <text:p text:style-name="Definition_20_Definition_20_Tight">Sorghum bicolor</text:p>
      <text:p text:style-name="Definition_20_Term_20_Tight">Vědecký název taxonu</text:p>
      <text:p text:style-name="Definition_20_Definition_20_Tight">Sorghum bicolor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Český název</text:p>
      <text:p text:style-name="Definition_20_Definition_20_Tight">čirok obecný</text:p>
      <text:p text:style-name="Definition_20_Term_20_Tight">Synonyma (zahradnicky používaný název)</text:p>
      <text:p text:style-name="Definition_20_Definition_20_Tight">Milium nigricans Ruiz &amp; Pav., Sorghum vulgare var. nigricans (Ruiz &amp; Pav.) A.F. Hill, Sorghum nigrum (Ard.) Roem. &amp; Schult.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původně pravděpodobně Afrika a jižní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p text:style-name="Definition_20_Term_20_Tight">Životní forma - poznámka</text:p>
      <text:p text:style-name="Definition_20_Definition_20_Tight">jednoletá mohutná tráva</text:p>
      <text:h text:style-name="Heading_20_4" text:outline-level="4">Popisné a identifikační znaky</text:h>
      <text:p text:style-name="Definition_20_Term_20_Tight">Habitus</text:p>
      <text:p text:style-name="Definition_20_Definition_20_Tight">mohutná tráva se silnými stébly, které jsou vysoké až 200 cm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oslunění</text:p>
      <text:p text:style-name="Definition_20_Term_20_Tight">Faktor tepla</text:p>
      <text:p text:style-name="Definition_20_Definition_20_Tight">teplomilná rostlina</text:p>
      <text:p text:style-name="Definition_20_Term_20_Tight">Faktor vody</text:p>
      <text:p text:style-name="Definition_20_Definition_20_Tight">při prodlužovacím růstu vyžaduje dostatek vody</text:p>
      <text:h text:style-name="Heading_20_4" text:outline-level="4">Užitné vlastnosti</text:h>
      <text:p text:style-name="Definition_20_Term_20_Tight">Použití</text:p>
      <text:p text:style-name="Definition_20_Definition_20_Tight">pro svou výšku se může uplatnit ve větších letničkových záhonech jako výrazná solitera,další použití je k řezu jako čerstvý a k sušení, v subtropech je to významná obilnina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vyséváme přímo na stanoviště na počátku května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