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albomaculata</text:h>
      <text:p text:style-name="Definition_20_Term_20_Tight">Název taxonu</text:p>
      <text:p text:style-name="Definition_20_Definition_20_Tight">Zantedeschia albomaculata</text:p>
      <text:p text:style-name="Definition_20_Term_20_Tight">Vědecký název taxonu</text:p>
      <text:p text:style-name="Definition_20_Definition_20_Tight">Zantedeschia albomaculata</text:p>
      <text:p text:style-name="Definition_20_Term_20_Tight">Jména autorů, kteří taxon popsali</text:p>
      <text:p text:style-name="Definition_20_Definition_20_Tight">
        <text:a xlink:type="simple" xlink:href="/taxon-authors/652" office:name="">
          <text:span text:style-name="Definition">(Hooker) Baillon (1880; 1859 jako...</text:span>
        </text:a>
      </text:p>
      <text:p text:style-name="Definition_20_Term_20_Tight">Odrůda</text:p>
      <text:p text:style-name="Definition_20_Definition_20_Tight">´Intimate Ivory´</text:p>
      <text:p text:style-name="Definition_20_Term_20_Tight">Český název</text:p>
      <text:p text:style-name="Definition_20_Definition_20_Tight">kornoutice běloskvrnná</text:p>
      <text:p text:style-name="Definition_20_Term_20_Tight">Synonyma (zahradnicky používaný název)</text:p>
      <text:p text:style-name="Definition_20_Definition_20_Tight">Richardia hastata Hook.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valida Letty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Transvaal, Botswana, Malawi</text:p>
      <text:h text:style-name="Heading_20_4" text:outline-level="4">Zařazení</text:h>
      <text:p text:style-name="Definition_20_Term_20_Tight">Fytocenologický původ</text:p>
      <text:p text:style-name="Definition_20_Definition_20_Tight">petrochtofyt, telmatofyt - mokré suti a stráně, sezónně zaplavovaná stanoviště, v horách do 2400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řapíkaté,staženě střelovité nebo (subsp. valida) střelovitě vejčité, svěže zelené s bělavými skvrnami</text:p>
      <text:p text:style-name="Definition_20_Term_20_Tight">Květenství</text:p>
      <text:p text:style-name="Definition_20_Definition_20_Tight">úžlabní palice s různopohlavnými kvítky, vespod pistillátními, výše samčími, toulce krémově bílé, v jícnu temně purpurové</text:p>
      <text:p text:style-name="Definition_20_Term_20_Tight">Květy</text:p>
      <text:p text:style-name="Definition_20_Definition_20_Tight">různopohlavné, bezobalné, samičíkrémové nebo zelené,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snadno zaměnitelná s přibuznými taxony s purpurovými jícny toulců: s transvaalskou Z. pentlandii Wittm. (toulce chromově žluté, listy trojúhle střelovité beze skvrn) nebo s bělokvětými klony Z. elliottiana Engl. (známa jen z kultivace, květní toulce zpravidla svítivě žluté, listy rovněž široce střelovitě vejčité a skvrnité); stav nadto komplikován množstvím podobných hybridů taxonů sekce Aestivalia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nutné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22 (12/+), 18 (15/+) nebo 14 (18/+)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(u kultur k řezu i hrnkových) 80-100 dní z výsadeb jarních (ii-iv), 60-80 dní z výsadeb letních (iv-vi) nebo 100-140 (180) dní z výsadeb podzimních (x-xi)</text:p>
      <text:p text:style-name="Definition_20_Term_20_Tight">Odrůdy</text:p>
      <text:p text:style-name="Definition_20_Definition_20_Tight">množství hybridních odrůd nejasného původu: krémové a bledě žluté ´Solfatare´, ´Intimate Ivory´, ´Cameo´, ´Eleganza´, Wedgewood´ nebo ´Crystal Blush´; sytě žluté ´Golden Star´, ´Chopin´, ´Rembrandt´ atd.; meruňkové a broskvové ´Mango´, ´Sunrise´, ´Mozart´, ´Hawaii´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NDhfMTI1X19VaGVyX1phbnRlZGVzY2hpYV9TdW5yaXNlXy5KUEciXV0?sha=c8ecccb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DhfNDg5X19VaGVyX1phbnRlZGVzY2hpYV9NYW5nb18uSlBHIl1d?sha=d59b301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NDhfNzgxX19VaGVyX1phbnRlZGVzY2hpYV9wZW50bGFuZGlpLkpQRyJdXQ?sha=77cb23a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NfNDlfOTFfX1VoZXJfWmFudGVkZXNjaGlhX2VsbGlvdHRpYW5hLkpQRyJdXQ?sha=ef86b87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NfNDlfMzc0X19VaGVyX1phbnRlZGVzY2hpYV9lbGxpb3R0aWFuYV9obF96YS5KUEciXV0?sha=567c5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NfNDlfNjcwX19VaGVyX1phbnRlZGVzY2hpYV9hbGJvbWFjdWxhdGEuSlBHIl1d?sha=ddb060a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ZfMDNfNDlfOTU3X19VaGVyX1phbnRlZGVzY2hpYV9Tb2xmYXRhcmVfLkpQRyJdXQ?sha=894bbd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ZfMDNfNTBfMjcyX19VaGVyX1phbnRlZGVzY2hpYV9JbnRpbWF0ZV9Jdm9yeV8uSlBHIl1d?sha=8004220c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ZfMDNfNTBfNTU3X19VaGVyX1phbnRlZGVzY2hpYV9DYW1lb18uSlBHIl1d?sha=ae1257c4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ZfMDNfNTBfNzEzX19VaGVyX1phbnRlZGVzY2hpYV9hbGJvbWFjdWxhdGFfc3BhZGl4LmpwZyJdXQ?sha=d94a5b46" office:name="">
          <text:span text:style-name="Definition">
            <draw:frame svg:width="216pt" svg:height="288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