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´Vestar´</text:h>
      <text:p text:style-name="Definition_20_Term_20_Tight">Název taxonu</text:p>
      <text:p text:style-name="Definition_20_Definition_20_Tight">Prunus armeniaca ´Vestar´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´Vestar´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řídká</text:p>
      <text:p text:style-name="Definition_20_Term_20_Tight">Květy</text:p>
      <text:p text:style-name="Definition_20_Definition_20_Tight">větší než ´Velkopavlovická´, bílé, okrouhlé, blizna nad úrovní prašníků</text:p>
      <text:p text:style-name="Definition_20_Term_20_Tight">Plody</text:p>
      <text:p text:style-name="Definition_20_Definition_20_Tight">středně velké až velké (45 až 50 g), srdcovité se zaobleným vrcholem, souměrné, základní barva světle oranžová s celistvým bledě červeným líčkem na slunečné straně, dužnina oranžová, tuhá, středně šťavnatá, velmi dobrá aromatická chutˇ, v nepříznivých letech je dužnina přilnavá k pecce, tuhá dužnina se při sběru a přepravě neotlačí, plody jsou dobře skladovatelné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5 dnů po odrůdě ´Velkopavlovická´ (Ø 22. 7.),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</text:p>
      <text:p text:style-name="Definition_20_Term_20_Tight">Faktor půdy</text:p>
      <text:p text:style-name="Definition_20_Definition_20_Tight">nenáročná na polohy, půdy výživné, vlhké</text:p>
      <text:h text:style-name="Heading_20_4" text:outline-level="4">Agrotechnické vlastnosti a požadavky</text:h>
      <text:p text:style-name="Definition_20_Term_20_Tight">Podnož</text:p>
      <text:p text:style-name="Definition_20_Definition_20_Tight">dle podmínek lze využít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 (tuhost dužniny, velmi dobrá chuť)</text:p>
      <text:p text:style-name="Definition_20_Term_20_Tight">Choroby a škůdci</text:p>
      <text:p text:style-name="Definition_20_Definition_20_Tight">náchylná k monilii</text:p>
      <text:p text:style-name="Definition_20_Term_20_Tight">Růstové i jiné druhově specifické vlastnosti</text:p>
      <text:p text:style-name="Definition_20_Definition_20_Tight">mírně vzrůstná</text:p>
      <text:p text:style-name="Definition_20_Term_20_Tight">Plodnost</text:p>
      <text:p text:style-name="Definition_20_Definition_20_Tight">vstup do plodnosti je středně raný, plodný potenciál odrůdy je vysoký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DVfODkxX2dvZ29sa292YV9QcnVudXNfYXJtZW5pYWNhX1Zlc3Rhcl9fcGxvZHkuanBnIl1d?sha=2a6e758d" office:name="">
          <text:span text:style-name="Definition">
            <draw:frame svg:width="150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