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Pseudomuscari azureum</text:h>
      <text:p text:style-name="Definition_20_Term_20_Tight">Název taxonu</text:p>
      <text:p text:style-name="Definition_20_Definition_20_Tight">Pseudomuscari azureum</text:p>
      <text:p text:style-name="Definition_20_Term_20_Tight">Vědecký název taxonu</text:p>
      <text:p text:style-name="Definition_20_Definition_20_Tight">Pseudomuscari azureum</text:p>
      <text:p text:style-name="Definition_20_Term_20_Tight">Jména autorů, kteří taxon popsali</text:p>
      <text:p text:style-name="Definition_20_Definition_20_Tight">
        <text:a xlink:type="simple" xlink:href="/taxon-authors/766" office:name="">
          <text:span text:style-name="Definition">(Fenzl) Garbari &amp; Greuter</text:span>
        </text:a>
      </text:p>
      <text:p text:style-name="Definition_20_Term_20_Tight">Synonyma (zahradnicky používaný název)</text:p>
      <text:p text:style-name="Definition_20_Definition_20_Tight">Muscari azureum Fenzl, Bellevalia azurea (Fenzl) Boiss., Hyacinthella azurea (Fenzl) Chouard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0" office:name="">
          <text:span text:style-name="Definition">Pseudomuscari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Turecko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