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communis ´Clappova červená´</text:h>
      <text:p text:style-name="Definition_20_Term_20_Tight">Název taxonu</text:p>
      <text:p text:style-name="Definition_20_Definition_20_Tight">Pyrus communis ´Clappova červená´</text:p>
      <text:p text:style-name="Definition_20_Term_20_Tight">Vědecký název taxonu</text:p>
      <text:p text:style-name="Definition_20_Definition_20_Tight">Pyrus communis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´Clappova červená´</text:p>
      <text:p text:style-name="Definition_20_Term_20_Tight">Český název</text:p>
      <text:p text:style-name="Definition_20_Definition_20_Tight">hrušeň obecná</text:p>
      <text:p text:style-name="Definition_20_Term_20_Tight">Synonyma (zahradnicky používaný název)</text:p>
      <text:p text:style-name="Definition_20_Definition_20_Tight">Pyrus achras, Pyrus domestica, Pyrus pyraster Borkh.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Massachussets, USA</text:p>
      <text:h text:style-name="Heading_20_4" text:outline-level="4">Zařazení</text:h>
      <text:p text:style-name="Definition_20_Term_20_Tight">Fytocenologický původ</text:p>
      <text:p text:style-name="Definition_20_Definition_20_Tight">křížením ´Clappova´x ´Červencová´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široce pyramidální až široce jehlancovitá, větve visí až k zemi</text:p>
      <text:p text:style-name="Definition_20_Term_20_Tight">Listy</text:p>
      <text:p text:style-name="Definition_20_Definition_20_Tight">středně velké, oválný až široce vejčitý tvar, tmavě zelené, lesklé s mělce pilovitým okrajem čepele</text:p>
      <text:p text:style-name="Definition_20_Term_20_Tight">Květy</text:p>
      <text:p text:style-name="Definition_20_Definition_20_Tight">středně velké (36-40 mm), široce miskovité, korunní plátky široké, okrouhlé, bílé</text:p>
      <text:p text:style-name="Definition_20_Term_20_Tight">Plody</text:p>
      <text:p text:style-name="Definition_20_Definition_20_Tight">středně velké až velké (160-180 g), baňatě kuželovité, vínově červené, lenticely zahuštěné okolo kalichu, dužnina šťavnatá, sladce nakyslá, mírně aromatická, velmi dobrá</text:p>
      <text:h text:style-name="Heading_20_4" text:outline-level="4">Doba zrání</text:h>
      <text:p text:style-name="Definition_20_Term_20_Tight">Doba zrání - poznámka</text:p>
      <text:p text:style-name="Definition_20_Definition_20_Tight">konec srpna (skladovatelnost do konce září)</text:p>
      <text:h text:style-name="Heading_20_4" text:outline-level="4">Nároky na stanoviště</text:h>
      <text:p text:style-name="Definition_20_Term_20_Tight">Faktor tepla</text:p>
      <text:p text:style-name="Definition_20_Definition_20_Tight">proti mrazu ve dřevě a v květu středně odolná</text:p>
      <text:p text:style-name="Definition_20_Term_20_Tight">Faktor půdy - poznámka</text:p>
      <text:p text:style-name="Definition_20_Definition_20_Tight">nenáročná na půdu a polohu, vyhovují jí hlinité půdy do 450 m nadmořské výšky</text:p>
      <text:h text:style-name="Heading_20_4" text:outline-level="4">Agrotechnické vlastnosti a požadavky</text:h>
      <text:p text:style-name="Definition_20_Term_20_Tight">Podnož</text:p>
      <text:p text:style-name="Definition_20_Definition_20_Tight">kdouloň K-TE-B, K-TE-E, MA-SE i semenáč H-TE-1, H-TE-2</text:p>
      <text:h text:style-name="Heading_20_4" text:outline-level="4">Užitné vlastnosti</text:h>
      <text:p text:style-name="Definition_20_Term_20_Tight">Použití</text:p>
      <text:p text:style-name="Definition_20_Definition_20_Tight">přímý konzum</text:p>
      <text:p text:style-name="Definition_20_Term_20_Tight">Choroby a škůdci</text:p>
      <text:p text:style-name="Definition_20_Definition_20_Tight">ve vlhčích oblastech napadána strupovitostí</text:p>
      <text:p text:style-name="Definition_20_Term_20_Tight">Plodnost</text:p>
      <text:p text:style-name="Definition_20_Definition_20_Tight">pozdější (7. - 10. rok po výsadbě), hojná,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hfMDJfNTAxX2dvZ29sa292YV9QeXJ1c19jb21tdW5pc19DbGFwcG92YV9lcnZlbl9fcGxvZC5qcGciXV0?sha=e8e480a6" office:name="">
          <text:span text:style-name="Definition">
            <draw:frame svg:width="4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