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Asparagus densiflorus</text:h>
      <text:p text:style-name="Definition_20_Term_20_Tight">Název taxonu</text:p>
      <text:p text:style-name="Definition_20_Definition_20_Tight">Asparagus densiflorus</text:p>
      <text:p text:style-name="Definition_20_Term_20_Tight">Vědecký název taxonu</text:p>
      <text:p text:style-name="Definition_20_Definition_20_Tight">Asparagus densiflorus</text:p>
      <text:p text:style-name="Definition_20_Term_20_Tight">Jména autorů, kteří taxon popsali</text:p>
      <text:p text:style-name="Definition_20_Definition_20_Tight">
        <text:a xlink:type="simple" xlink:href="/taxon-authors/98" office:name="">
          <text:span text:style-name="Definition">(Kunth) Jessop (1966; 1850 jako...</text:span>
        </text:a>
      </text:p>
      <text:p text:style-name="Definition_20_Term_20_Tight">Český název</text:p>
      <text:p text:style-name="Definition_20_Definition_20_Tight">chřest hustokvětý (Sprengerův)</text:p>
      <text:p text:style-name="Definition_20_Term_20_Tight">Synonyma (zahradnicky používaný název)</text:p>
      <text:p text:style-name="Definition_20_Definition_20_Tight">Asparagus sprengeri Regel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53" office:name="">
          <text:span text:style-name="Definition">Asparagus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kapské a natalské pobřežní oblasti</text:p>
      <text:h text:style-name="Heading_20_4" text:outline-level="4">Zařazení</text:h>
      <text:p text:style-name="Definition_20_Term_20_Tight">Fytocenologický původ</text:p>
      <text:p text:style-name="Definition_20_Definition_20_Tight">ammofyt, petrofyt, etalofyt - pobřežní písečné duny, kamenité svahy, světlé lesy a křoviny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přepadavě rostoucí svěže zelená bylina s větvenými stonky, hustě dále odvětvujícími v zploštělá nebo hranatá kladodia</text:p>
      <text:p text:style-name="Definition_20_Term_20_Tight">Kořen</text:p>
      <text:p text:style-name="Definition_20_Definition_20_Tight">zhlíznatělé adventivní kořeny z krátkého rhizomu</text:p>
      <text:p text:style-name="Definition_20_Term_20_Tight">Výhony</text:p>
      <text:p text:style-name="Definition_20_Definition_20_Tight">vystoupavě přepadavé, až metr dlouhé, lysé, spirálně větvené v krátký obrost s nevelikými hrotnatými kladodiemi</text:p>
      <text:p text:style-name="Definition_20_Term_20_Tight">Listy</text:p>
      <text:p text:style-name="Definition_20_Definition_20_Tight">silně redukované v zakřivené, měkce osténkaté šupiny</text:p>
      <text:p text:style-name="Definition_20_Term_20_Tight">Květenství</text:p>
      <text:p text:style-name="Definition_20_Definition_20_Tight">krátké úžlabní hrozny</text:p>
      <text:p text:style-name="Definition_20_Term_20_Tight">Květy</text:p>
      <text:p text:style-name="Definition_20_Definition_20_Tight">drobné, oboupohlavné, stejnoobalné, trojčetné, diplostemonické, bílé nebo bledě růžové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kulaté, ve zralosti červené (bílé u "A.sprengeri"), jednosemenné bobule</text:p>
      <text:p text:style-name="Definition_20_Term_20_Tight">Semena</text:p>
      <text:p text:style-name="Definition_20_Definition_20_Tight">oblá, černá, poměrně veliká</text:p>
      <text:p text:style-name="Definition_20_Term_20_Tight">Možnost záměny taxonu (+ rozlišující rozhodný znak)</text:p>
      <text:p text:style-name="Definition_20_Definition_20_Tight">ve své extrémní proměnlivosti zaměnitelná s jinými druhy s plochými kladodiemi, především s A. ethiopicus L. (hrozny nevětvené) nebo se stěsnaně rostoucími ekotypy A. falcatus L. s redukovanými kladodiemi (květenství větvená) - na rozdíl od A. densiflorus oba se stonky ovíjivými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domovině výrazně sezónní kvetení (od srpna do září, od listopadu do prosince dle ekotypu), v kultivaci kvete nepravidelně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ve tmě!!) po vzejítí 10-20 klux, optimum k produkci stonků k řezu 60-80 klux, méně než 1 klux: prakticky bez přírůstků a nevyzrává; k udržení kvality v bytech nejméně 2 klux</text:p>
      <text:p text:style-name="Definition_20_Term_20_Tight">Faktor tepla</text:p>
      <text:p text:style-name="Definition_20_Definition_20_Tight">výsevy 22°C-28°C, produkce v létě 20°C (větrání od 22°C - teploty nad 34°C škodí), v zimě extenzívní kultury při 10°C-14°C, za vyšších teplot nízká kvalita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 lehký substrát - provzdušněný borkou, polystyrénem, ve vrstvě min. 0.2 m vysoké; pH 6.0-7.0, EC do 1.4-1.8 mS/cm, 3-4 kg NPK / m3</text:p>
      <text:h text:style-name="Heading_20_4" text:outline-level="4">Užitné vlastnosti</text:h>
      <text:p text:style-name="Definition_20_Term_20_Tight">Použití</text:p>
      <text:p text:style-name="Definition_20_Definition_20_Tight">rostliny pro řez zeleně, hrnkové květiny</text:p>
      <text:p text:style-name="Definition_20_Term_20_Tight">Choroby a škůdci</text:p>
      <text:p text:style-name="Definition_20_Definition_20_Tight">početné askomycety (Colletotrichum, Alternaria, Haematonectria, Myrothecium, Rhizoctonia, Clypeosphaeria, Leptosphaeria, Diaporthe, Mycosphaerella, Melanospora, Richonia, Phomatospora, Sclerotinia, Pleospora, Pyronopeziza, Giberella, Zopfia, Sclerotinia a další); ze škůdců mšice (Idiopterus, Macrosiphium), molice (Trialeurodes), třásněnky (Frankliniella), štítenky (Pulvinaria, Coccus, Saissetia), roztoči (Steneotarsonemus, Polyphagotarsonemus), háďátka (Meloidogyne, Paratrichodorus, Dolichodorus, Criconemella a další)</text:p>
      <text:p text:style-name="Definition_20_Term_20_Tight">Doporučený spon pro výsadbu</text:p>
      <text:p text:style-name="Definition_20_Definition_20_Tight">přepíchané výsevy 500 rostlin /m2; hrnkové kultury: 30-36 rostlin /m2; produkce řezané zeleně: 16-24 rostlin na m2 s výtěžností 300 až 500 stonků po dobu 4-6 let, 34-40 rostlin na m2 (nanejvýš 2-4 roky)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Mezihrnky</text:p>
      <text:p text:style-name="Definition_20_Definition_20_Tight">obvykle pikýrování rostlin v 8. (16.) týdnu po vzejití do 8 cm hrnků</text:p>
      <text:p text:style-name="Definition_20_Term_20_Tight">Konečné hrnky</text:p>
      <text:p text:style-name="Definition_20_Definition_20_Tight">12 cm hrnky (30-36 hrnků na m2 - za příliš těsného rozestavění žloutnutí a opad kladodií!) po dalších osmi týdnech kultivace</text:p>
      <text:p text:style-name="Definition_20_Term_20_Tight">Retardace</text:p>
      <text:p text:style-name="Definition_20_Definition_20_Tight">hydroxychinolinsulfáty (8-HQS) a hemihydrochloridy aminooxyacetátů (AOA) výrazně zvyšují trvanlivost řezaných stonků</text:p>
      <text:p text:style-name="Definition_20_Term_20_Tight">Květní tvorba</text:p>
      <text:p text:style-name="Definition_20_Definition_20_Tight">pravděpodobně fotokumulativní; v produkci bezvýznamná</text:p>
      <text:p text:style-name="Definition_20_Term_20_Tight">Doba kultivace</text:p>
      <text:p text:style-name="Definition_20_Definition_20_Tight">hrnkové kultury: 10-12 měsíců; produkce zeleně: výsadba 12-14 měsíců starých rostlin, kultury dle sponu výsadby až šestileté</text:p>
      <text:p text:style-name="Definition_20_Term_20_Tight">Odrůdy</text:p>
      <text:p text:style-name="Definition_20_Definition_20_Tight">nanejvýš půl tuctu odrůd lišících se habituelně (kompaktně rostoucí ´Mazeppa´, ´Myersii´) nebo ve velikosti kladodií (´Cwebe´, ´Flagstaff´, ´Sprengeri´)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ročním obratu rodu Asparagus na VBN (hrnkové a řezané květiny) činí podíl A. densiflorus 1.32 mil. eur - z toho ´Myersii´ 2.72 mil. stonků + 95 tis. hrnků (580 tis.eur), ´Sprengeri´ 287 tis.stonků a 1.38 mil. prodaných hrnků (734 tis.eur)</text:p>
      <text:p text:style-name="Definition_20_Term_20_Tight">Poznámka</text:p>
      <text:p text:style-name="Definition_20_Definition_20_Tight">Obermeyer (1985) přiznává skupině Protasparagus statut svérázného rodu a rekombinuje A. densiflorus jako Protasparagus densiflorus (Kunth.) Oberm.; Malcomber &amp; Demissew (1992) akceptují skupinu toliko na úrovni podrodu a Ito &amp; al. (2008) ji shledávají parafyletickou</text:p>
      <text:p text:style-name="Definition_20_Term">Odkazy</text:p>
      <text:list text:style-name="L2">
        <text:list-item>
          <text:p text:style-name="P2">Jessop J.P. (1966): The genus Asparagus in Southern Africa, Bothalia 9 (1): 31-96; Mathew B. (1988): Notes on tropical African Asparagaceae, Kew Bulletin 44 (1): 181-182; Malcomber S.T. &amp; Demissew S. (1992): The statut of Protasparagus and Myrsiphyllum in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DZfNDkyX19VaGVyX0FzcGFyYWd1c19kZW5zaWZsb3J1c19NeWVyc2lpXy5KUEciXV0?sha=cacf6c4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MDZfODA2X19VaGVyX0FzcGFyYWd1c19kZW5zaWZsb3J1c19TcHJlbmdlcmlfcGxvZHlfLkpQRyJdXQ?sha=37b2ebd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NfMDdfMTAzX19VaGVyX0FzcGFyYWd1c19kZW5zaWZsb3J1c19TcHJlbmdlcmlfa3ZfdGVuc3R2Xy5KUEciXV0?sha=3def0b1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NfMDdfMzk4X19VaGVyX0FzcGFyYWd1c19kZW5zaWZsb3J1c19TcHJlbmdlcmlfLkpQRyJdXQ?sha=a9f6366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kvMTIvMDYvMTVfMTBfNDJfMzJfX1VoZXJfQXNwYXJhZ3VzX2RlbnNpZmxvcnVzX2tvX2VueS5KUEciXV0?sha=16d7837e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kvMTIvMDYvMTVfMTBfNDJfNDc3X19VaGVyX0FzcGFyYWd1c19mYWxjYXR1cy5KUEciXV0?sha=b2d7c401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kvMTIvMDYvMTVfMTBfNDJfODYxX19VaGVyX0FzcGFyYWd1c19mYWxjYXR1c19rdl90ZW5zdHZfLkpQRyJdXQ?sha=e87e7593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