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Bouvier</text:h>
      <text:p text:style-name="Definition_20_Term_20_Tight">Název taxonu</text:p>
      <text:p text:style-name="Definition_20_Definition_20_Tight">Vitis vinifera Bouvier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´Bouvierův hrozen´ (BH)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Bouvier, Bouvierovo hrozno, Bouvier blanc, Radgonska ranina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místo původu je nejisté, vznikla pravděpodobným spontánním křížením odrůd ´Rulandské bílé´ a ´Sylvánské zelené´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velký, pětilaločnatý s hlubokými překrytými lyrovitými výkroji, bazální výkroj je lyrovitý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válcovitý, řidší hrozen; bobule středně velká, kulatá, žlutozelená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dobře snáší i suché a písčité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5 BB, do hlubších a úrodnějších půd pak SO 4 i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burčák</text:p>
      <text:p text:style-name="Definition_20_Term_20_Tight">Choroby a škůdci</text:p>
      <text:p text:style-name="Definition_20_Definition_20_Tight">nízká odolnost k houbovým chorobám, citlivá zejména na plíseň šedou</text:p>
      <text:p text:style-name="Definition_20_Term_20_Tight">Plodnost</text:p>
      <text:p text:style-name="Definition_20_Definition_20_Tight">raná, nižší ale pravidelná (výnos 6-8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s nižším obsahem kyselin, vůně i chuť je jemně kořenitá lehce do muškátu</text:p>
      <text:p text:style-name="Definition_20_Term_20_Tight">Doporučená technologie vína</text:p>
      <text:p text:style-name="Definition_20_Definition_20_Tight">burčák, jakostní a přívlastková bílá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NDRfMzcwX1NvdG9sYXJfVml0aXNfdmluaWZlcmFfYm91dmllcl9ocm96ZW4uanBnIl1d?sha=feec04d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NDRfNTg4X1NvdG9sYXJfVml0aXNfdmluaWZlcmFfYm91dmllcl9saXN0LmpwZyJdXQ?sha=bc27d092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lfNDRfODE4X1NvdG9sYXJfVml0aXNfdmluaWZlcmFfYm91dmllcl9ocm96ZW4xLmpwZyJdXQ?sha=09b4671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lfNDVfNjZfU290b2xhcl9WaXRpc192aW5pZmVyYV9ib3V2aWVyX2NlbGtvdmEuanBnIl1d?sha=16abb563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lfNDVfMzAxX1NvdG9sYXJfVml0aXNfdmluaWZlcmFfYm91dmllcl9jZWxrb3ZhMS5qcGciXV0?sha=e212faf3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