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macowanii</text:h>
      <text:p text:style-name="Definition_20_Term_20_Tight">Název taxonu</text:p>
      <text:p text:style-name="Definition_20_Definition_20_Tight">Asparagus macowanii</text:p>
      <text:p text:style-name="Definition_20_Term_20_Tight">Vědecký název taxonu</text:p>
      <text:p text:style-name="Definition_20_Definition_20_Tight">Asparagus macowanii</text:p>
      <text:p text:style-name="Definition_20_Term_20_Tight">Jména autorů, kteří taxon popsali</text:p>
      <text:p text:style-name="Definition_20_Definition_20_Tight">
        <text:a xlink:type="simple" xlink:href="/taxon-authors/832" office:name="">
          <text:span text:style-name="Definition">Baker (1875)</text:span>
        </text:a>
      </text:p>
      <text:p text:style-name="Definition_20_Term_20_Tight">Český název</text:p>
      <text:p text:style-name="Definition_20_Definition_20_Tight">chřest okoličnatý (Macowanův)</text:p>
      <text:p text:style-name="Definition_20_Term_20_Tight">Synonyma (zahradnicky používaný název)</text:p>
      <text:p text:style-name="Definition_20_Definition_20_Tight">Asparagus umbellatus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macowanii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Natalu a Transvaalu do Mozambique</text:p>
      <text:h text:style-name="Heading_20_4" text:outline-level="4">Zařazení</text:h>
      <text:p text:style-name="Definition_20_Term_20_Tight">Fytocenologický původ</text:p>
      <text:p text:style-name="Definition_20_Definition_20_Tight">efylofyt - světlé a suché lesy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větvené rostliny s vícenásobně větvenými stonky, odvětvujícími v husé svazky lineárních kladodií</text:p>
      <text:p text:style-name="Definition_20_Term_20_Tight">Kořen</text:p>
      <text:p text:style-name="Definition_20_Definition_20_Tight">adventivní svazčité kořeny z krátkého rhizomu</text:p>
      <text:p text:style-name="Definition_20_Term_20_Tight">Výhony</text:p>
      <text:p text:style-name="Definition_20_Definition_20_Tight">obloukovitě vzpřímené, lysé, šedobílé, spirálně odvětvené v obrost se svazčitými nitkovitými kladodiemi</text:p>
      <text:p text:style-name="Definition_20_Term_20_Tight">Listy</text:p>
      <text:p text:style-name="Definition_20_Definition_20_Tight">silně redukované v zakřivené, často jen v náznaku osténkaté šupiny (koncové větévky vždy bez ostnů)</text:p>
      <text:p text:style-name="Definition_20_Term_20_Tight">Květenství</text:p>
      <text:p text:style-name="Definition_20_Definition_20_Tight">krátké hrozny s odčlánkovanými, poniklými, až po dvanácti seskládanými kvítky</text:p>
      <text:p text:style-name="Definition_20_Term_20_Tight">Květy</text:p>
      <text:p text:style-name="Definition_20_Definition_20_Tight">drobné, stejnoobalné, trojčetné, diplostemonické, krémově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neveliké okrouhlé oranžové bobule</text:p>
      <text:p text:style-name="Definition_20_Term_20_Tight">Semena</text:p>
      <text:p text:style-name="Definition_20_Definition_20_Tight">černá, oblá</text:p>
      <text:p text:style-name="Definition_20_Term_20_Tight">Možnost záměny taxonu (+ rozlišující rozhodný znak)</text:p>
      <text:p text:style-name="Definition_20_Definition_20_Tight">zaměnitelný s habituelně podobnými A. laricinus Burch. (robustnější s rýhovanými stonky a ostny na všech větévkách) nebo A. retrofractus L. (liány se zalamovanými větévkami a nesteně dlouhými kladodiemi)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září do listopadu a od dubna do května dle ekotypu), v kultivaci kvete zřídka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 klux, optimum k produkci stonků k řezu 30-40 klux, méně než 2 klux: prakticky bez přírůstků; k udržení kvality v bytech nejméně 2 klux</text:p>
      <text:p text:style-name="Definition_20_Term_20_Tight">Faktor tepla</text:p>
      <text:p text:style-name="Definition_20_Definition_20_Tight">výsevy 20°C-28°C, produkce v létě 20°C, ani v zimě ne pod 16°C/10°C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polystyrénem, apod.; pH 5.8-7.2, EC do 1.4-1.8 mS/cm, 3-4 kg NPK / m3</text:p>
      <text:p text:style-name="Definition_20_Term_20_Tight">Faktor půdy - poznámka</text:p>
      <text:p text:style-name="Definition_20_Definition_20_Tight">pozor na negativní důsledky příliš kyselých substrátů (háďátka atd.)</text:p>
      <text:h text:style-name="Heading_20_4" text:outline-level="4">Užitné vlastnosti</text:h>
      <text:p text:style-name="Definition_20_Term_20_Tight">Použití</text:p>
      <text:p text:style-name="Definition_20_Definition_20_Tight">rostliny pro řez zeleně, hrnkové květiny</text:p>
      <text:p text:style-name="Definition_20_Term_20_Tight">Choroby a škůdci</text:p>
      <text:p text:style-name="Definition_20_Definition_20_Tight">početné askomycety (Colletotrichum, Myrothecium, Stemphyllium, Phomopsis; Rhizoctonia, Clypeosphaeria, Leptosphaeria, Diaporthe, Mycosphaerella, Melanospora, Richonia, Phomatospora); ze škůdců mšice (Idiopterus, Macrosiphium), molice (Trialeurodes), třásněnky (Frankliniella), štítenky (Pulvinaria, Coccus, Saissetia), roztoči (Steneotarsonemus, Polyphagotarsonemus), háďátka (Meloidogyne, Criconemella, Dolichodorus, Hoplolaimus, Paratrichodorus)</text:p>
      <text:p text:style-name="Definition_20_Term_20_Tight">Doporučený spon pro výsadbu</text:p>
      <text:p text:style-name="Definition_20_Definition_20_Tight">produkce: výsadba na vyhřívané stoly nebo v hrnkách, 10-18 rostlin na m2 s výtěžností do 100 stonků z m2 (téměř 60% v I.jakostní třídě)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Množení - poznámka</text:p>
      <text:p text:style-name="Definition_20_Definition_20_Tight">výsevy: osivo uchovatelné 18 měsíců při 2°C, klíčivost do 60% (cca 25 tisíc zrn / kg); tkáňové kultury: disky z mladých výhonů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12-16 cm hrnky ve 20.-24. týdnu kultivace (16-24 hrnků na m2 - za příliš těsného rozestavění žloutnutí a opad kladodií!)</text:p>
      <text:p text:style-name="Definition_20_Term_20_Tight">Retardace</text:p>
      <text:p text:style-name="Definition_20_Definition_20_Tight">hydroxychinolinsulfáty (8-HQS) a hemihydrochloridy aminooxyacetátů (AOA) výrazně zvyšují trvanlivost řezaných stonků</text:p>
      <text:p text:style-name="Definition_20_Term_20_Tight">Květní tvorba</text:p>
      <text:p text:style-name="Definition_20_Definition_20_Tight">pravděpodobně fotokumulativní ?; v produkci nevýznamná</text:p>
      <text:p text:style-name="Definition_20_Term_20_Tight">Doba kultivace</text:p>
      <text:p text:style-name="Definition_20_Definition_20_Tight">hrnkové kultury 6-10 měsíců dle velikosti hrnků; k produkci řezané zeleně zhruba tři - čtyři roky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(řezané květiny) činí podíl "A. umbellatus" zhruba 1.62 mil.eur (8.88 mil.stonků); hrnková produkce jen asi 28 tisíc rostlin (18 tis.eur)</text:p>
      <text:p text:style-name="Definition_20_Term_20_Tight">Poznámka</text:p>
      <text:p text:style-name="Definition_20_Definition_20_Tight">Obermeyer (1983) přiznává skupině Protasparagus statut rodu a rekombinuje A. macowanii jako Protasparagus macowanii (Bak.) Oberm.; Malcomber &amp; Demissew (1992) akceptují skupinu toliko na úrovni podrodu, zatímci Ito &amp; al. (2008) ji shledávají parafyletickou</text:p>
      <text:p text:style-name="Definition_20_Term">Odkazy</text:p>
      <text:list text:style-name="L2">
        <text:list-item>
          <text:p text:style-name="P2">Jessop J.P. (1966): The genus Asparagus in Southern Africa, Bothalia 9 (1): 31-96; Malcomber S.T. &amp; Demissew S. (1992): The statut of Protasparagus and Myrsiphyllum in the Asparagaceae, Kew Bulletin 48 (1): 63-77; Marino A.&amp; al. (2003): Production and pos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kvMTIvMDYvMTVfMDVfNDFfODI0X19VaGVyX0FzcGFyYWd1c19tYWNvd2FuaWkuSlBHIl1d?sha=1dea142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TIvMDYvMTVfMDVfNDJfMTk5X19VaGVyX0FzcGFyYWd1c19hY3V0aWZvbGl1cy5KUEciXV0?sha=5749358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kvMTIvMDYvMTVfMDVfNDJfNTY5X19VaGVyX0FzcGFyYWd1c19hY3V0aWZvbGl1c19wbG9keV8uSlBHIl1d?sha=3a7e05d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