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Hemerocallis ´Parian China´</text:h>
      <text:p text:style-name="Definition_20_Term_20_Tight">Název taxonu</text:p>
      <text:p text:style-name="Definition_20_Definition_20_Tight">Hemerocallis ´Parian China´</text:p>
      <text:p text:style-name="Definition_20_Term_20_Tight">Vědecký název taxonu</text:p>
      <text:p text:style-name="Definition_20_Definition_20_Tight">Hemerocallis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´American Evolution´</text:p>
      <text:p text:style-name="Definition_20_Term_20_Tight">Český název</text:p>
      <text:p text:style-name="Definition_20_Definition_20_Tight">denivka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Asphodelaceaea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40" office:name="">
              <text:span text:style-name="Definition">Z 15: záhon 15 / ZF - Z - Akademická zahrada (Z 15a: ´American Evolution´; Z 15b: ´Parian China´)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2106</text:p>
      <text:p text:style-name="Definition_20_Term_20_Tight">Výsev/výsadba na stanoviště - podrobnějsí popis</text:p>
      <text:p text:style-name="Definition_20_Definition_20_Tight">podzim</text:p>
      <text:p text:style-name="Definition_20_Term_20_Tight">Dodavatel</text:p>
      <text:p text:style-name="Definition_20_Definition_20_Tight">sbírky ZF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