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Solidago simplex ssp. randii (Porter)</text:h>
      <text:p text:style-name="Definition_20_Term_20_Tight">Název taxonu</text:p>
      <text:p text:style-name="Definition_20_Definition_20_Tight">Solidago simplex ssp. randii (Porter)</text:p>
      <text:p text:style-name="Definition_20_Term_20_Tight">Vědecký název taxonu</text:p>
      <text:p text:style-name="Definition_20_Definition_20_Tight">Solidago simplex ssp. randii (Porter)</text:p>
      <text:p text:style-name="Definition_20_Term_20_Tight">Jména autorů, kteří taxon popsali</text:p>
      <text:p text:style-name="Definition_20_Definition_20_Tight">
        <text:a xlink:type="simple" xlink:href="/taxon-authors/902" office:name="">
          <text:span text:style-name="Definition">Kunth</text:span>
        </text:a>
      </text:p>
      <text:p text:style-name="Definition_20_Term_20_Tight">Český název</text:p>
      <text:p text:style-name="Definition_20_Definition_20_Tight">zlatobýl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3068" office:name="">
          <text:span text:style-name="Definition">Asteraceae</text:span>
        </text:a>
      </text:p>
      <text:h text:style-name="Heading_20_4" text:outline-level="4">Zařazení</text:h>
      <text:p text:style-name="Definition_20_Term_20_Tight">Fytocenologický původ</text:p>
      <text:p text:style-name="Definition_20_Definition_20_Tight">USA, Kanada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