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´Polonais´</text:h>
      <text:p text:style-name="Definition_20_Term_20_Tight">Název taxonu</text:p>
      <text:p text:style-name="Definition_20_Definition_20_Tight">Prunus armeniaca ´Polonais´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´Polonais´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Vimes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kulatá, velmi zdravá</text:p>
      <text:p text:style-name="Definition_20_Term_20_Tight">Listy</text:p>
      <text:p text:style-name="Definition_20_Definition_20_Tight">zelené, velmi malé</text:p>
      <text:p text:style-name="Definition_20_Term_20_Tight">Květy</text:p>
      <text:p text:style-name="Definition_20_Definition_20_Tight">velké jako ´Velkopavlovická´, okrouhlé,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(45-50 g), protáhle oválné, světle oranžové, jemné oranžové líčko, velmi dobré chuti ale brzy moučnatí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střední (konec července až začátek srpna)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středně silně vzrůstná</text:p>
      <text:p text:style-name="Definition_20_Term_20_Tight">Plodnost</text:p>
      <text:p text:style-name="Definition_20_Definition_20_Tight">velmi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jJfMTkyX2dvZ29sa292YV9QcnVudXNfYXJtZW5pYWNhX1BvbG9uYWlzX19wbG9keS5qcGciXV0?sha=d4cdbc27" office:name="">
          <text:span text:style-name="Definition">
            <draw:frame svg:width="276pt" svg:height="18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