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´Luizet´</text:h>
      <text:p text:style-name="Definition_20_Term_20_Tight">Název taxonu</text:p>
      <text:p text:style-name="Definition_20_Definition_20_Tight">Prunus armeniaca ´Luizet´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´Luizet´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Květy</text:p>
      <text:p text:style-name="Definition_20_Definition_20_Tight">květy velké jako ´Velkopavlovická´, okrouhlé, bílé s růžovým nádechem,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 (46 g), srdčitě kulovité, světleoranžové se slabým líčkem, sladkokyselé (9 % cukru, 13,5 % kyselin), aromatické</text:p>
      <text:h text:style-name="Heading_20_4" text:outline-level="4">Doba kvetení</text:h>
      <text:p text:style-name="Definition_20_Term_20_Tight">Doba kvetení - poznámka</text:p>
      <text:p text:style-name="Definition_20_Definition_20_Tight">velmi pozdní</text:p>
      <text:h text:style-name="Heading_20_4" text:outline-level="4">Doba zrání</text:h>
      <text:p text:style-name="Definition_20_Term_20_Tight">Doba zrání - poznámka</text:p>
      <text:p text:style-name="Definition_20_Definition_20_Tight">raná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</text:p>
      <text:p text:style-name="Definition_20_Term_20_Tight">Faktor vody</text:p>
      <text:p text:style-name="Definition_20_Definition_20_Tight">vysoce odolná proti suchu</text:p>
      <text:h text:style-name="Heading_20_4" text:outline-level="4">Užitné vlastnosti</text:h>
      <text:p text:style-name="Definition_20_Term_20_Tight">Choroby a škůdci</text:p>
      <text:p text:style-name="Definition_20_Definition_20_Tight">citlivá k virové šarce švestek</text:p>
      <text:p text:style-name="Definition_20_Term_20_Tight">Růstové i jiné druhově specifické vlastnosti</text:p>
      <text:p text:style-name="Definition_20_Definition_20_Tight">vysoce vzrůstná</text:p>
      <text:p text:style-name="Definition_20_Term_20_Tight">Plodnost</text:p>
      <text:p text:style-name="Definition_20_Definition_20_Tight">velmi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DZfNTc5X2dvZ29sa292YV9QcnVudXNfYXJtZW5pYWNhX0x1aXpldF9fcGxvZHkuSlBHIl1d?sha=143f7a94" office:name="">
          <text:span text:style-name="Definition">
            <draw:frame svg:width="168pt" svg:height="16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