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Panicum violaceum</text:h>
      <text:p text:style-name="Definition_20_Term_20_Tight">Název taxonu</text:p>
      <text:p text:style-name="Definition_20_Definition_20_Tight">Panicum violaceum</text:p>
      <text:p text:style-name="Definition_20_Term_20_Tight">Vědecký název taxonu</text:p>
      <text:p text:style-name="Definition_20_Definition_20_Tight">Panicum violaceum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proso</text:p>
      <text:p text:style-name="Definition_20_Term_20_Tight">Synonyma (zahradnicky používaný název)</text:p>
      <text:p text:style-name="Definition_20_Definition_20_Tight">Cenchrus violaceus (Lam.) Morrone Pennisetum glaucum subsp. violaceum (Lam.) A. Rich. Pennisetum violaceum (Lam.) Rich. ex Pers.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Saharsko-arabská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