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Schisandra chinensis</text:h>
      <text:p text:style-name="Definition_20_Term_20_Tight">Název taxonu</text:p>
      <text:p text:style-name="Definition_20_Definition_20_Tight">Schisandra chinensis</text:p>
      <text:p text:style-name="Definition_20_Term_20_Tight">Vědecký název taxonu</text:p>
      <text:p text:style-name="Definition_20_Definition_20_Tight">Schisandra chinensis</text:p>
      <text:p text:style-name="Definition_20_Term_20_Tight">Jména autorů, kteří taxon popsali</text:p>
      <text:p text:style-name="Definition_20_Definition_20_Tight">
        <text:a xlink:type="simple" xlink:href="/taxon-authors/421" office:name="">
          <text:span text:style-name="Definition">(Turcz.) Baill.</text:span>
        </text:a>
      </text:p>
      <text:p text:style-name="Definition_20_Term_20_Tight">Český název</text:p>
      <text:p text:style-name="Definition_20_Definition_20_Tight">klanopraška čínská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9" office:name="">
          <text:span text:style-name="Definition">Schisandra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subtropy Asie a Ameriky</text:p>
      <text:h text:style-name="Heading_20_4" text:outline-level="4">Zařazení</text:h>
      <text:p text:style-name="Definition_20_Term_20_Tight">Pěstitelská skupina</text:p>
      <text:p text:style-name="Definition_20_Definition_20_Tight">Liána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opadavá dřevitá liána, 8-15m, pravotočivé, červenohnědé, v mládi hladké, lesklé, starší loupající se, výhony větvené se třemi druhy výhonů (vegetativní 1,6 m, vegetativně genetarivní 0,5 m na bázi s květy a plody, generativní - plodonosné 10 - 50 mm dlouhé)</text:p>
      <text:p text:style-name="Definition_20_Term_20_Tight">Listy</text:p>
      <text:p text:style-name="Definition_20_Definition_20_Tight">střídavé, eliptické nebo opakvejčité s červenohnědým řapíkem, čepel světle zelená 50 - 100 x 30 - 50 mm velká s klínovitou bází, na vrcholi zašpičatělá, se zubatým okrajem</text:p>
      <text:p text:style-name="Definition_20_Term_20_Tight">Květy</text:p>
      <text:p text:style-name="Definition_20_Definition_20_Tight">v úžlabí listů po 2 - 7 na růžových stopkách, bílé, narůžovělé a voní po citronu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polohy, mladé rostliny potřebují zastínění</text:p>
      <text:p text:style-name="Definition_20_Term_20_Tight">Faktor vody</text:p>
      <text:p text:style-name="Definition_20_Definition_20_Tight">vlhká stanoviště</text:p>
      <text:p text:style-name="Definition_20_Term_20_Tight">Faktor půdy</text:p>
      <text:p text:style-name="Definition_20_Definition_20_Tight">nitrofilní druh, pH 4,8 - 5,6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řízky, Kořenové řízky a Hřížení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VII/2020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