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tiff" manifest:full-path="Pictures/3.tif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Petrosedum rupestre</text:h>
      <text:p text:style-name="Definition_20_Term_20_Tight">Název taxonu</text:p>
      <text:p text:style-name="Definition_20_Definition_20_Tight">Petrosedum rupestre</text:p>
      <text:p text:style-name="Definition_20_Term_20_Tight">Vědecký název taxonu</text:p>
      <text:p text:style-name="Definition_20_Definition_20_Tight">Petrosedum rupestre</text:p>
      <text:p text:style-name="Definition_20_Term_20_Tight">Jména autorů, kteří taxon popsali</text:p>
      <text:p text:style-name="Definition_20_Definition_20_Tight">
        <text:a xlink:type="simple" xlink:href="/taxon-authors/425" office:name="">
          <text:span text:style-name="Definition">(L.) Heath</text:span>
        </text:a>
      </text:p>
      <text:p text:style-name="Definition_20_Term_20_Tight">Odrůda</text:p>
      <text:p text:style-name="Definition_20_Definition_20_Tight">´Angelina´</text:p>
      <text:p text:style-name="Definition_20_Term_20_Tight">Český název</text:p>
      <text:p text:style-name="Definition_20_Definition_20_Tight">rozchodník skalní</text:p>
      <text:p text:style-name="Definition_20_Term_20_Tight">Synonyma (zahradnicky používaný název)</text:p>
      <text:p text:style-name="Definition_20_Definition_20_Tight">Sedum rupestre L., Sedum reflexum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erectum ´tHart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Pyreneje, Alpy, především v termofytiku a mezofytiku - odtud do nížin střední a západní Evropy (200-800 m n.m.)</text:p>
      <text:h text:style-name="Heading_20_4" text:outline-level="4">Zařazení</text:h>
      <text:p text:style-name="Definition_20_Term_20_Tight">Fytocenologický původ</text:p>
      <text:p text:style-name="Definition_20_Definition_20_Tight">petrofyt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poléhavě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poléhavé, vystoupavé, velmi hustě olistěné; kvetoucí vzpřímené, 0.1-0.3 m</text:p>
      <text:p text:style-name="Definition_20_Term_20_Tight">Listy</text:p>
      <text:p text:style-name="Definition_20_Definition_20_Tight">cylindrické - silně dužnaté, osinkatě špičaté, žlutozelené (u ostatních odrůd tmavozelené nebo šedivě ojíněné)</text:p>
      <text:p text:style-name="Definition_20_Term_20_Tight">Květenství</text:p>
      <text:p text:style-name="Definition_20_Definition_20_Tight">vidlanovitě větvené brakteátní vijany, před rozkvětem vzpřímené (u subsp. rupestre poniklé)</text:p>
      <text:p text:style-name="Definition_20_Term_20_Tight">Květy</text:p>
      <text:p text:style-name="Definition_20_Definition_20_Tight">aktinomorfní, heterochlamydeické, hvězdovitě šestičetné, sytě žluté, diplostemonické, s pestíky ponořenými v receptakulu ze srostlých sepalů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na deset značně podobných druhů rodu - z nejpěstovanějších Petrosedum fosterianum (Sm.) Grulich, celkově útlejší s listy ve svrchní části stonků růžicovitě nahloučenými, květenství bez braktejí, před rozkvětem poniklé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5.5-7.0</text:p>
      <text:p text:style-name="Definition_20_Term_20_Tight">Faktor půdy - poznámka</text:p>
      <text:p text:style-name="Definition_20_Definition_20_Tight">upřednostňuje půdy kyselé nebo lokálně odvápněné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hodnocení Hensen &amp; Groendijk-Wilders (1984): uspokojivé (původní P.rupestre), upotřebitelné pro zahrádkáře (´Cristatum´), postradatelné (´Glaucum´)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zabarvením (ojíněním) listů, též odrůdy hřebenitě větvící; ´Angelina´ s olistěním žlutozeleným, k podzimu do červena přebarvujícím</text:p>
      <text:h text:style-name="Heading_20_4" text:outline-level="4">Ostatní</text:h>
      <text:p text:style-name="Definition_20_Term_20_Tight">Poznámka</text:p>
      <text:p text:style-name="Definition_20_Definition_20_Tight">Legenda ke grafické příloze 1 - Uher-Petrosedum.varia: 1. Petrosedum anopetalum; 2. Petrosedum sediforme; 3. Petrosedum rupestre ‘Angelina’; 4. Petrosedum rupestre; 5. Petrosedum montanum ‘Jenny’; 6. Petrosedum forsterianum ‘Elegans’</text:p>
      <text:p text:style-name="Definition_20_Term">Odkazy</text:p>
      <text:list text:style-name="L1">
        <text:list-item>
          <text:p text:style-name="P1">Gallo L. (2009): Sedum ser. Rupestria Berger (Crassulaceae): work in progress toward a checklist of taxa and their distribution. Bocconea 23: 203-205; Grulich V. (1984): Generic dividion of Sedoideae in Europe and adjacent regions. Preslia 56 (1): 29-45;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NDNfODg2X19VaGVyX1BldHJvc2VkdW0ucnVwZXN0cmUuQmx1ZS5TcHJ1Y2UuSlBHIl1d?sha=8cdffcb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NDRfMjY2X19VaGVyX1BldHJvc2VkdW0ucnVwZXN0cmUuR3JlZW4uU3BydWNlLkpQRy5KUEciXV0?sha=297414b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NDRfNTc2X19VaGVyX1BldHJvc2VkdW0uZm9yc3RlcmlhbnVtLkpQRyJdXQ?sha=236d889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NDRfNzgzX19VaGVyX1BldHJvc2VkdW1fdmFyaWEudGlmIl1d?sha=bdf5975d" office:name="">
          <text:span text:style-name="Definition">
            <draw:frame svg:width="384pt" svg:height="221pt">
              <draw:image xlink:href="Pictures/3.tif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