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Lycium chinense</text:h>
      <text:p text:style-name="Definition_20_Term_20_Tight">Název taxonu</text:p>
      <text:p text:style-name="Definition_20_Definition_20_Tight">Lycium chinense</text:p>
      <text:p text:style-name="Definition_20_Term_20_Tight">Vědecký název taxonu</text:p>
      <text:p text:style-name="Definition_20_Definition_20_Tight">Lycium chinense</text:p>
      <text:p text:style-name="Definition_20_Term_20_Tight">Český název</text:p>
      <text:p text:style-name="Definition_20_Definition_20_Tight">kustovnice čínská</text:p>
      <text:p text:style-name="Definition_20_Term_20_Tight">Synonyma (zahradnicky používaný název)</text:p>
      <text:p text:style-name="Definition_20_Definition_20_Tight">Lycium barbarum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5" office:name="">
          <text:span text:style-name="Definition">Lycium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severní a západní Čína, Japonsko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polopoléhavý keř až 3 m vysoký, větve bílé nebo našedlé s kuželovitými trny, které se někdy prodlužují a nesou listy a květy</text:p>
      <text:p text:style-name="Definition_20_Term_20_Tight">Listy</text:p>
      <text:p text:style-name="Definition_20_Definition_20_Tight">střídavé, podlouhle kopinaté, tupé, na bázi se zužující v krátký řapík</text:p>
      <text:p text:style-name="Definition_20_Term_20_Tight">Květenství</text:p>
      <text:p text:style-name="Definition_20_Definition_20_Tight">květy vyrůstají jednotlivě nebo ve svazečcích</text:p>
      <text:p text:style-name="Definition_20_Term_20_Tight">Květy</text:p>
      <text:p text:style-name="Definition_20_Definition_20_Tight">kalich vrásčitý, nepravidelně laločnatý až zubatý, nachová až fialová koruna má vyčnívající tyčinky a elipsoidní semeník usazený na velkém blanitém, miskovitém kalichu</text:p>
      <text:p text:style-name="Definition_20_Term_20_Tight">Plody</text:p>
      <text:p text:style-name="Definition_20_Definition_20_Tight">červenooranžová bobule, 1-2 cm dlouhá,se sladkou, poněkud nepříjemnou chutí</text:p>
      <text:p text:style-name="Definition_20_Term_20_Tight">Semena</text:p>
      <text:p text:style-name="Definition_20_Definition_20_Tight">oranžově žlutá, uložená v lepkavém míšku</text:p>
      <text:p text:style-name="Definition_20_Term_20_Tight">Možnost záměny taxonu (+ rozlišující rozhodný znak)</text:p>
      <text:p text:style-name="Definition_20_Definition_20_Tight">Anthriscus cerefolium,subs.cerefolium(má lysé plody)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květen - červenec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středně náročná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roste i na chudších půdách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sadby, Kořenové řízky a Hřížení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