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´San Castrese´</text:h>
      <text:p text:style-name="Definition_20_Term_20_Tight">Název taxonu</text:p>
      <text:p text:style-name="Definition_20_Definition_20_Tight">Prunus armeniaca ´San Castrese´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´San Castrese´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Itálie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velmi vzrůstná odrůda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(55 g), tmavě oranžové, dužnina pevná, oranžová, průměrné chuti</text:p>
      <text:h text:style-name="Heading_20_4" text:outline-level="4">Doba kvetení</text:h>
      <text:p text:style-name="Definition_20_Term_20_Tight">Doba kvetení - poznámka</text:p>
      <text:p text:style-name="Definition_20_Definition_20_Tight">raná, kvete velmi dlouze</text:p>
      <text:h text:style-name="Heading_20_4" text:outline-level="4">Doba zrání</text:h>
      <text:p text:style-name="Definition_20_Term_20_Tight">Doba zrání - poznámka</text:p>
      <text:p text:style-name="Definition_20_Definition_20_Tight">středně pozdní</text:p>
      <text:h text:style-name="Heading_20_4" text:outline-level="4">Nároky na stanoviště</text:h>
      <text:p text:style-name="Definition_20_Term_20_Tight">Faktor půdy</text:p>
      <text:p text:style-name="Definition_20_Definition_20_Tight">vysoké nároky na stanoviště a půdu</text:p>
      <text:h text:style-name="Heading_20_4" text:outline-level="4">Užitné vlastnosti</text:h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RfNThfNTI5X2dvZ29sa292YV9QcnVudXNfYXJtZW5pYWNhX1Nhbl9DYXN0cmVzZV9fa3ZfdHkuanBnIl1d?sha=9abd83f6" office:name="">
          <text:span text:style-name="Definition">
            <draw:frame svg:width="225pt" svg:height="225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NThfNTc4X2dvZ29sa292YV9QcnVudXNfYXJtZW5pYWNhX1Nhbl9DYXN0cmVzZV9fcGxvZHkuSlBHIl1d?sha=5a6f5712" office:name="">
          <text:span text:style-name="Definition">
            <draw:frame svg:width="51pt" svg:height="51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